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Yardley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Yardley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Yardley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Yardley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Yardley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Yardley are estimated to have a score of 1-2 on the PGSI (low-risk gambling), whilst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Birmingham Yardley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Yardley is estimated to be </w:t>
      </w:r>
      <w:r w:rsidRPr="00773DF7">
        <w:rPr>
          <w:rFonts w:ascii="Libre Franklin Light" w:eastAsia="Times New Roman" w:hAnsi="Libre Franklin Light" w:cs="Calibri Light"/>
          <w:b/>
          <w:bCs/>
          <w:color w:val="C45911" w:themeColor="accent2" w:themeShade="BF"/>
        </w:rPr>
        <w:t xml:space="preserve">£4,880,929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Yardley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Yardley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Yardley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Yardley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Yard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Yardley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Yard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Yardley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Yardley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Yard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Yardley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Yardley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Yardley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Yardley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Yardley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Yardley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£4,880,929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Yardley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£79,502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£1,644,153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£117,781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£33,126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£60,731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£2,945,636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£4,880,929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Yardley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Yardley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Yardley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Yardley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Yardley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Yardley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Yardley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Yardley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Yardley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Yardley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Yardley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Yardley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EF9BA62-D320-4802-9394-91B4A8A8222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